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61" w:rsidRDefault="00F41161" w:rsidP="008412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2A5E" w:rsidRPr="00542A5E" w:rsidRDefault="00542A5E" w:rsidP="00542A5E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2A5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9316965" wp14:editId="37A51697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A5E" w:rsidRDefault="00542A5E" w:rsidP="008412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290" w:rsidRPr="00841290" w:rsidRDefault="00841290" w:rsidP="00841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НЕМСКОГО МУНИЦИПАЛЬНОГО </w:t>
      </w:r>
      <w:r w:rsidRPr="00841290">
        <w:rPr>
          <w:rFonts w:ascii="Times New Roman" w:hAnsi="Times New Roman"/>
          <w:b/>
          <w:sz w:val="28"/>
          <w:szCs w:val="28"/>
        </w:rPr>
        <w:t xml:space="preserve"> ОКРУГА КИРОВСКОЙ ОБЛАСТИ</w:t>
      </w:r>
    </w:p>
    <w:p w:rsidR="00841290" w:rsidRPr="00F41161" w:rsidRDefault="00841290" w:rsidP="00841290">
      <w:pPr>
        <w:jc w:val="center"/>
        <w:rPr>
          <w:rFonts w:ascii="Times New Roman" w:hAnsi="Times New Roman"/>
          <w:b/>
          <w:sz w:val="27"/>
          <w:szCs w:val="27"/>
        </w:rPr>
      </w:pPr>
    </w:p>
    <w:p w:rsidR="00841290" w:rsidRPr="00841290" w:rsidRDefault="00841290" w:rsidP="00841290">
      <w:pPr>
        <w:jc w:val="center"/>
        <w:rPr>
          <w:rFonts w:ascii="Times New Roman" w:hAnsi="Times New Roman"/>
          <w:b/>
          <w:sz w:val="32"/>
          <w:szCs w:val="32"/>
        </w:rPr>
      </w:pPr>
      <w:r w:rsidRPr="00841290">
        <w:rPr>
          <w:rFonts w:ascii="Times New Roman" w:hAnsi="Times New Roman"/>
          <w:b/>
          <w:sz w:val="32"/>
          <w:szCs w:val="32"/>
        </w:rPr>
        <w:t>ПОСТАНОВЛЕНИЕ</w:t>
      </w:r>
    </w:p>
    <w:p w:rsidR="00841290" w:rsidRPr="00841290" w:rsidRDefault="00841290" w:rsidP="00841290">
      <w:pPr>
        <w:jc w:val="center"/>
        <w:rPr>
          <w:rFonts w:ascii="Times New Roman" w:hAnsi="Times New Roman"/>
          <w:b/>
          <w:sz w:val="36"/>
          <w:szCs w:val="36"/>
        </w:rPr>
      </w:pPr>
    </w:p>
    <w:p w:rsidR="00841290" w:rsidRPr="00841290" w:rsidRDefault="00916380" w:rsidP="005A3F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41290" w:rsidRPr="00841290">
        <w:rPr>
          <w:rFonts w:ascii="Times New Roman" w:hAnsi="Times New Roman"/>
          <w:sz w:val="28"/>
          <w:szCs w:val="28"/>
        </w:rPr>
        <w:t xml:space="preserve">№ </w:t>
      </w:r>
    </w:p>
    <w:p w:rsidR="00841290" w:rsidRPr="005A3F2C" w:rsidRDefault="005A3F2C" w:rsidP="00841290">
      <w:pPr>
        <w:jc w:val="center"/>
        <w:rPr>
          <w:rFonts w:ascii="Times New Roman" w:hAnsi="Times New Roman"/>
          <w:sz w:val="24"/>
          <w:szCs w:val="24"/>
        </w:rPr>
      </w:pPr>
      <w:r w:rsidRPr="005A3F2C">
        <w:rPr>
          <w:rFonts w:ascii="Times New Roman" w:hAnsi="Times New Roman"/>
          <w:sz w:val="24"/>
          <w:szCs w:val="24"/>
        </w:rPr>
        <w:t>п</w:t>
      </w:r>
      <w:r w:rsidR="00841290" w:rsidRPr="005A3F2C">
        <w:rPr>
          <w:rFonts w:ascii="Times New Roman" w:hAnsi="Times New Roman"/>
          <w:sz w:val="24"/>
          <w:szCs w:val="24"/>
        </w:rPr>
        <w:t>гт Нема</w:t>
      </w:r>
    </w:p>
    <w:p w:rsidR="00841290" w:rsidRPr="00841290" w:rsidRDefault="00841290" w:rsidP="00841290">
      <w:pPr>
        <w:jc w:val="both"/>
        <w:rPr>
          <w:rFonts w:ascii="Times New Roman" w:hAnsi="Times New Roman"/>
          <w:sz w:val="28"/>
          <w:szCs w:val="28"/>
        </w:rPr>
      </w:pPr>
    </w:p>
    <w:p w:rsidR="00841290" w:rsidRPr="00F41161" w:rsidRDefault="00841290" w:rsidP="008412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F41161">
        <w:rPr>
          <w:rFonts w:ascii="Times New Roman" w:hAnsi="Times New Roman"/>
          <w:b/>
          <w:sz w:val="27"/>
          <w:szCs w:val="27"/>
        </w:rPr>
        <w:t>Об утверждении Программы профилактики рисков причинения вреда (ущерба) охраняемым</w:t>
      </w:r>
      <w:r w:rsidR="00F41161" w:rsidRPr="00F41161">
        <w:rPr>
          <w:rFonts w:ascii="Times New Roman" w:hAnsi="Times New Roman"/>
          <w:b/>
          <w:sz w:val="27"/>
          <w:szCs w:val="27"/>
        </w:rPr>
        <w:t xml:space="preserve"> законом ценностям </w:t>
      </w:r>
      <w:r w:rsidR="00FA3642" w:rsidRPr="00F41161">
        <w:rPr>
          <w:rFonts w:ascii="Times New Roman" w:hAnsi="Times New Roman"/>
          <w:b/>
          <w:sz w:val="27"/>
          <w:szCs w:val="27"/>
        </w:rPr>
        <w:t xml:space="preserve">муниципального контроля в сфере благоустройства </w:t>
      </w:r>
      <w:r w:rsidRPr="00F41161">
        <w:rPr>
          <w:rFonts w:ascii="Times New Roman" w:hAnsi="Times New Roman"/>
          <w:b/>
          <w:sz w:val="27"/>
          <w:szCs w:val="27"/>
        </w:rPr>
        <w:t>на территории</w:t>
      </w:r>
      <w:r w:rsidRPr="00F41161">
        <w:rPr>
          <w:rFonts w:ascii="Times New Roman" w:hAnsi="Times New Roman"/>
          <w:b/>
          <w:bCs/>
          <w:color w:val="000000"/>
          <w:sz w:val="27"/>
          <w:szCs w:val="27"/>
        </w:rPr>
        <w:t xml:space="preserve"> муниципального образования</w:t>
      </w:r>
      <w:r w:rsidRPr="00F41161">
        <w:rPr>
          <w:rFonts w:ascii="Times New Roman" w:hAnsi="Times New Roman"/>
          <w:sz w:val="27"/>
          <w:szCs w:val="27"/>
        </w:rPr>
        <w:t xml:space="preserve"> </w:t>
      </w:r>
      <w:r w:rsidRPr="00F41161">
        <w:rPr>
          <w:rFonts w:ascii="Times New Roman" w:hAnsi="Times New Roman"/>
          <w:b/>
          <w:sz w:val="27"/>
          <w:szCs w:val="27"/>
        </w:rPr>
        <w:t>Немский муниципальный округ Кировской области</w:t>
      </w:r>
      <w:r w:rsidR="00BF53A6" w:rsidRPr="00BF53A6">
        <w:t xml:space="preserve"> </w:t>
      </w:r>
      <w:r w:rsidR="00BF53A6" w:rsidRPr="00BF53A6">
        <w:rPr>
          <w:rFonts w:ascii="Times New Roman" w:hAnsi="Times New Roman"/>
          <w:b/>
          <w:sz w:val="27"/>
          <w:szCs w:val="27"/>
        </w:rPr>
        <w:t>на 202</w:t>
      </w:r>
      <w:r w:rsidR="005D0E9A">
        <w:rPr>
          <w:rFonts w:ascii="Times New Roman" w:hAnsi="Times New Roman"/>
          <w:b/>
          <w:sz w:val="27"/>
          <w:szCs w:val="27"/>
        </w:rPr>
        <w:t>5</w:t>
      </w:r>
      <w:r w:rsidR="00BF53A6" w:rsidRPr="00BF53A6">
        <w:rPr>
          <w:rFonts w:ascii="Times New Roman" w:hAnsi="Times New Roman"/>
          <w:b/>
          <w:sz w:val="27"/>
          <w:szCs w:val="27"/>
        </w:rPr>
        <w:t>год</w:t>
      </w:r>
    </w:p>
    <w:p w:rsidR="00841290" w:rsidRPr="00F41161" w:rsidRDefault="00841290" w:rsidP="00841290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841290" w:rsidRPr="00F41161" w:rsidRDefault="00841290" w:rsidP="00F41161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F41161">
        <w:rPr>
          <w:rFonts w:ascii="Times New Roman" w:hAnsi="Times New Roman"/>
          <w:sz w:val="27"/>
          <w:szCs w:val="27"/>
        </w:rPr>
        <w:t>В соответствии со</w:t>
      </w:r>
      <w:r w:rsidRPr="00F41161">
        <w:rPr>
          <w:rFonts w:ascii="Times New Roman" w:hAnsi="Times New Roman"/>
          <w:color w:val="0000FF"/>
          <w:sz w:val="27"/>
          <w:szCs w:val="27"/>
        </w:rPr>
        <w:t xml:space="preserve"> </w:t>
      </w:r>
      <w:r w:rsidRPr="00F41161">
        <w:rPr>
          <w:rFonts w:ascii="Times New Roman" w:hAnsi="Times New Roman"/>
          <w:color w:val="000000"/>
          <w:sz w:val="27"/>
          <w:szCs w:val="27"/>
        </w:rPr>
        <w:t>статьей 44</w:t>
      </w:r>
      <w:r w:rsidRPr="00F41161">
        <w:rPr>
          <w:rFonts w:ascii="Times New Roman" w:hAnsi="Times New Roman"/>
          <w:sz w:val="27"/>
          <w:szCs w:val="27"/>
        </w:rPr>
        <w:t xml:space="preserve"> Федерального закона от 31</w:t>
      </w:r>
      <w:r w:rsidR="0028278A" w:rsidRPr="00F41161">
        <w:rPr>
          <w:rFonts w:ascii="Times New Roman" w:hAnsi="Times New Roman"/>
          <w:sz w:val="27"/>
          <w:szCs w:val="27"/>
        </w:rPr>
        <w:t>.07.</w:t>
      </w:r>
      <w:r w:rsidRPr="00F41161">
        <w:rPr>
          <w:rFonts w:ascii="Times New Roman" w:hAnsi="Times New Roman"/>
          <w:sz w:val="27"/>
          <w:szCs w:val="27"/>
        </w:rPr>
        <w:t xml:space="preserve">2020 № 248-ФЗ «О государственном контроле (надзоре) и муниципальном контроле в Российской Федерации», </w:t>
      </w:r>
      <w:r w:rsidRPr="00F41161">
        <w:rPr>
          <w:rFonts w:ascii="Times New Roman" w:hAnsi="Times New Roman"/>
          <w:color w:val="000000"/>
          <w:sz w:val="27"/>
          <w:szCs w:val="27"/>
        </w:rPr>
        <w:t>постановлением</w:t>
      </w:r>
      <w:r w:rsidRPr="00F41161">
        <w:rPr>
          <w:rFonts w:ascii="Times New Roman" w:hAnsi="Times New Roman"/>
          <w:sz w:val="27"/>
          <w:szCs w:val="27"/>
        </w:rPr>
        <w:t xml:space="preserve"> Правительства Российской Федерации от 25</w:t>
      </w:r>
      <w:r w:rsidR="00824528">
        <w:rPr>
          <w:rFonts w:ascii="Times New Roman" w:hAnsi="Times New Roman"/>
          <w:sz w:val="27"/>
          <w:szCs w:val="27"/>
        </w:rPr>
        <w:t>.06.</w:t>
      </w:r>
      <w:r w:rsidRPr="00F41161">
        <w:rPr>
          <w:rFonts w:ascii="Times New Roman" w:hAnsi="Times New Roman"/>
          <w:sz w:val="27"/>
          <w:szCs w:val="27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CA4AB3">
        <w:rPr>
          <w:rFonts w:ascii="Times New Roman" w:hAnsi="Times New Roman"/>
          <w:sz w:val="27"/>
          <w:szCs w:val="27"/>
        </w:rPr>
        <w:t>а</w:t>
      </w:r>
      <w:r w:rsidRPr="00F41161">
        <w:rPr>
          <w:rFonts w:ascii="Times New Roman" w:hAnsi="Times New Roman"/>
          <w:sz w:val="27"/>
          <w:szCs w:val="27"/>
        </w:rPr>
        <w:t>дминистрация Немского муниципального округа ПОСТАНОВЛЯЕТ:</w:t>
      </w:r>
    </w:p>
    <w:p w:rsidR="00841290" w:rsidRPr="00F41161" w:rsidRDefault="00841290" w:rsidP="00F41161">
      <w:pPr>
        <w:ind w:firstLine="709"/>
        <w:jc w:val="both"/>
        <w:outlineLvl w:val="0"/>
        <w:rPr>
          <w:rFonts w:ascii="Times New Roman" w:hAnsi="Times New Roman"/>
          <w:b/>
          <w:sz w:val="27"/>
          <w:szCs w:val="27"/>
        </w:rPr>
      </w:pPr>
      <w:r w:rsidRPr="00F41161">
        <w:rPr>
          <w:rFonts w:ascii="Times New Roman" w:hAnsi="Times New Roman"/>
          <w:sz w:val="27"/>
          <w:szCs w:val="27"/>
        </w:rPr>
        <w:t>1. Утвердить Программу профилактики рисков причинения вреда (ущерба) охраняемым законо</w:t>
      </w:r>
      <w:r w:rsidR="00F41161" w:rsidRPr="00F41161">
        <w:rPr>
          <w:rFonts w:ascii="Times New Roman" w:hAnsi="Times New Roman"/>
          <w:sz w:val="27"/>
          <w:szCs w:val="27"/>
        </w:rPr>
        <w:t xml:space="preserve">м ценностям </w:t>
      </w:r>
      <w:r w:rsidR="00FA3642" w:rsidRPr="00F41161">
        <w:rPr>
          <w:rFonts w:ascii="Times New Roman" w:hAnsi="Times New Roman"/>
          <w:sz w:val="27"/>
          <w:szCs w:val="27"/>
        </w:rPr>
        <w:t xml:space="preserve">муниципального </w:t>
      </w:r>
      <w:r w:rsidRPr="00F41161">
        <w:rPr>
          <w:rFonts w:ascii="Times New Roman" w:hAnsi="Times New Roman"/>
          <w:sz w:val="27"/>
          <w:szCs w:val="27"/>
        </w:rPr>
        <w:t>контроля</w:t>
      </w:r>
      <w:r w:rsidR="00FA3642" w:rsidRPr="00F41161">
        <w:rPr>
          <w:rFonts w:ascii="Times New Roman" w:hAnsi="Times New Roman"/>
          <w:sz w:val="27"/>
          <w:szCs w:val="27"/>
        </w:rPr>
        <w:t xml:space="preserve"> в сфере благоустройства</w:t>
      </w:r>
      <w:r w:rsidRPr="00F41161">
        <w:rPr>
          <w:rFonts w:ascii="Times New Roman" w:hAnsi="Times New Roman"/>
          <w:sz w:val="27"/>
          <w:szCs w:val="27"/>
        </w:rPr>
        <w:t xml:space="preserve"> на территории муниципального образования Немский муниципальный округ Кировской области</w:t>
      </w:r>
      <w:r w:rsidR="00BF53A6" w:rsidRPr="00BF53A6">
        <w:t xml:space="preserve"> </w:t>
      </w:r>
      <w:r w:rsidR="00BF53A6" w:rsidRPr="00BF53A6">
        <w:rPr>
          <w:rFonts w:ascii="Times New Roman" w:hAnsi="Times New Roman"/>
          <w:sz w:val="27"/>
          <w:szCs w:val="27"/>
        </w:rPr>
        <w:t>на 202</w:t>
      </w:r>
      <w:r w:rsidR="005D0E9A">
        <w:rPr>
          <w:rFonts w:ascii="Times New Roman" w:hAnsi="Times New Roman"/>
          <w:sz w:val="27"/>
          <w:szCs w:val="27"/>
        </w:rPr>
        <w:t>5</w:t>
      </w:r>
      <w:r w:rsidR="00BF53A6" w:rsidRPr="00BF53A6">
        <w:rPr>
          <w:rFonts w:ascii="Times New Roman" w:hAnsi="Times New Roman"/>
          <w:sz w:val="27"/>
          <w:szCs w:val="27"/>
        </w:rPr>
        <w:t xml:space="preserve"> год</w:t>
      </w:r>
      <w:r w:rsidRPr="00F41161">
        <w:rPr>
          <w:rFonts w:ascii="Times New Roman" w:hAnsi="Times New Roman"/>
          <w:sz w:val="27"/>
          <w:szCs w:val="27"/>
        </w:rPr>
        <w:t>.</w:t>
      </w:r>
    </w:p>
    <w:p w:rsidR="00841290" w:rsidRPr="00F41161" w:rsidRDefault="00841290" w:rsidP="00F41161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F41161">
        <w:rPr>
          <w:rFonts w:ascii="Times New Roman" w:hAnsi="Times New Roman"/>
          <w:sz w:val="27"/>
          <w:szCs w:val="27"/>
        </w:rPr>
        <w:t>2. Разместить настоящее постановление на официальном сайте Администрации Немского муниципального округа Кировской области в информационно</w:t>
      </w:r>
      <w:r w:rsidR="00F41161" w:rsidRPr="00F41161">
        <w:rPr>
          <w:rFonts w:ascii="Times New Roman" w:hAnsi="Times New Roman"/>
          <w:sz w:val="27"/>
          <w:szCs w:val="27"/>
        </w:rPr>
        <w:t xml:space="preserve"> – </w:t>
      </w:r>
      <w:r w:rsidRPr="00F41161">
        <w:rPr>
          <w:rFonts w:ascii="Times New Roman" w:hAnsi="Times New Roman"/>
          <w:sz w:val="27"/>
          <w:szCs w:val="27"/>
        </w:rPr>
        <w:t>телекоммуникационной сети «Интернет».</w:t>
      </w:r>
    </w:p>
    <w:p w:rsidR="00CA4AB3" w:rsidRDefault="00824528" w:rsidP="0082452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FA3642" w:rsidRPr="00F41161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841290" w:rsidRPr="00F4116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841290" w:rsidRPr="00F41161">
        <w:rPr>
          <w:rFonts w:ascii="Times New Roman" w:hAnsi="Times New Roman"/>
          <w:sz w:val="27"/>
          <w:szCs w:val="27"/>
        </w:rPr>
        <w:t xml:space="preserve"> исполнением настоящего постановления </w:t>
      </w:r>
      <w:r w:rsidR="00CA4AB3">
        <w:rPr>
          <w:rFonts w:ascii="Times New Roman" w:hAnsi="Times New Roman"/>
          <w:sz w:val="28"/>
          <w:szCs w:val="28"/>
        </w:rPr>
        <w:t>возложить на заместителя главы администрации, начальника финансового управления Малышкину С.Н.</w:t>
      </w:r>
    </w:p>
    <w:p w:rsidR="00841290" w:rsidRPr="00CA4AB3" w:rsidRDefault="00824528" w:rsidP="00824528">
      <w:pPr>
        <w:pStyle w:val="a6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="00CA4AB3">
        <w:rPr>
          <w:rFonts w:ascii="Times New Roman" w:hAnsi="Times New Roman"/>
          <w:sz w:val="27"/>
          <w:szCs w:val="27"/>
        </w:rPr>
        <w:t>Постановление вступает в силу с 01.01.202</w:t>
      </w:r>
      <w:r w:rsidR="005D0E9A">
        <w:rPr>
          <w:rFonts w:ascii="Times New Roman" w:hAnsi="Times New Roman"/>
          <w:sz w:val="27"/>
          <w:szCs w:val="27"/>
        </w:rPr>
        <w:t>5</w:t>
      </w:r>
      <w:r w:rsidR="00CA4AB3">
        <w:rPr>
          <w:rFonts w:ascii="Times New Roman" w:hAnsi="Times New Roman"/>
          <w:sz w:val="27"/>
          <w:szCs w:val="27"/>
        </w:rPr>
        <w:t xml:space="preserve"> года.</w:t>
      </w:r>
      <w:r w:rsidR="00841290" w:rsidRPr="00CA4AB3">
        <w:rPr>
          <w:rFonts w:ascii="Times New Roman" w:hAnsi="Times New Roman"/>
          <w:sz w:val="27"/>
          <w:szCs w:val="27"/>
        </w:rPr>
        <w:t xml:space="preserve"> </w:t>
      </w:r>
    </w:p>
    <w:p w:rsidR="00140C66" w:rsidRPr="002C59A1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2C59A1">
        <w:rPr>
          <w:rFonts w:ascii="Times New Roman" w:eastAsia="Times New Roman" w:hAnsi="Times New Roman"/>
          <w:color w:val="000000"/>
          <w:sz w:val="28"/>
          <w:szCs w:val="28"/>
        </w:rPr>
        <w:t>Глава Немского</w:t>
      </w:r>
    </w:p>
    <w:p w:rsidR="00140C66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                                              </w:t>
      </w:r>
      <w:r w:rsidRPr="002C59A1">
        <w:rPr>
          <w:rFonts w:ascii="Times New Roman" w:eastAsia="Times New Roman" w:hAnsi="Times New Roman"/>
          <w:color w:val="000000"/>
          <w:sz w:val="28"/>
          <w:szCs w:val="28"/>
        </w:rPr>
        <w:t>Н.Г. Малышев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>____________________________________________________________________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>ПОДГОТОВЛЕНО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 xml:space="preserve">Ведущий специалист сектора ЖКХ 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>и благоустройства управления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жизнеобеспечения </w:t>
      </w: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ab/>
      </w: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ab/>
      </w: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ab/>
        <w:t xml:space="preserve">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</w:r>
      <w:r w:rsidR="005D0E9A">
        <w:rPr>
          <w:rFonts w:ascii="Times New Roman" w:eastAsia="Times New Roman" w:hAnsi="Times New Roman"/>
          <w:color w:val="000000"/>
          <w:sz w:val="25"/>
          <w:szCs w:val="25"/>
        </w:rPr>
        <w:t>Е.В. Мохова</w:t>
      </w:r>
      <w:r>
        <w:rPr>
          <w:rFonts w:ascii="Times New Roman" w:eastAsia="Times New Roman" w:hAnsi="Times New Roman"/>
          <w:color w:val="000000"/>
          <w:sz w:val="25"/>
          <w:szCs w:val="25"/>
        </w:rPr>
        <w:t xml:space="preserve"> 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>СОГЛАСОВАНО</w:t>
      </w: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140C66" w:rsidRPr="003776C8" w:rsidRDefault="00140C66" w:rsidP="00140C6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5"/>
          <w:szCs w:val="25"/>
        </w:rPr>
      </w:pPr>
      <w:r>
        <w:rPr>
          <w:rFonts w:ascii="Times New Roman" w:eastAsia="Times New Roman" w:hAnsi="Times New Roman"/>
          <w:color w:val="000000"/>
          <w:sz w:val="25"/>
          <w:szCs w:val="25"/>
        </w:rPr>
        <w:t>Заведующ</w:t>
      </w:r>
      <w:r w:rsidR="00824528">
        <w:rPr>
          <w:rFonts w:ascii="Times New Roman" w:eastAsia="Times New Roman" w:hAnsi="Times New Roman"/>
          <w:color w:val="000000"/>
          <w:sz w:val="25"/>
          <w:szCs w:val="25"/>
        </w:rPr>
        <w:t>и</w:t>
      </w: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>й отделом правовой и</w:t>
      </w:r>
    </w:p>
    <w:p w:rsidR="00CA4AB3" w:rsidRDefault="00140C66" w:rsidP="00140C66">
      <w:pPr>
        <w:rPr>
          <w:rFonts w:ascii="Times New Roman" w:hAnsi="Times New Roman"/>
          <w:sz w:val="27"/>
          <w:szCs w:val="27"/>
        </w:rPr>
      </w:pPr>
      <w:r w:rsidRPr="003776C8">
        <w:rPr>
          <w:rFonts w:ascii="Times New Roman" w:eastAsia="Times New Roman" w:hAnsi="Times New Roman"/>
          <w:color w:val="000000"/>
          <w:sz w:val="25"/>
          <w:szCs w:val="25"/>
        </w:rPr>
        <w:t xml:space="preserve">кадровой работы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</w:r>
      <w:r>
        <w:rPr>
          <w:rFonts w:ascii="Times New Roman" w:eastAsia="Times New Roman" w:hAnsi="Times New Roman"/>
          <w:color w:val="000000"/>
          <w:sz w:val="25"/>
          <w:szCs w:val="25"/>
        </w:rPr>
        <w:tab/>
        <w:t>С.В. Петрова</w:t>
      </w:r>
    </w:p>
    <w:p w:rsidR="00854E5E" w:rsidRPr="00196D43" w:rsidRDefault="00CA4AB3" w:rsidP="00F41161">
      <w:pPr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196D43">
        <w:rPr>
          <w:rFonts w:ascii="Times New Roman" w:hAnsi="Times New Roman"/>
          <w:sz w:val="24"/>
          <w:szCs w:val="24"/>
        </w:rPr>
        <w:lastRenderedPageBreak/>
        <w:t>УТВЕРЖДЕНА</w:t>
      </w:r>
      <w:r w:rsidR="00854E5E" w:rsidRPr="00196D43">
        <w:rPr>
          <w:rFonts w:ascii="Times New Roman" w:hAnsi="Times New Roman"/>
          <w:sz w:val="24"/>
          <w:szCs w:val="24"/>
        </w:rPr>
        <w:t xml:space="preserve"> </w:t>
      </w:r>
    </w:p>
    <w:p w:rsidR="00F31F74" w:rsidRPr="00196D43" w:rsidRDefault="00854E5E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 постановлени</w:t>
      </w:r>
      <w:r w:rsidR="00CA4AB3" w:rsidRPr="00196D43">
        <w:rPr>
          <w:rFonts w:ascii="Times New Roman" w:hAnsi="Times New Roman"/>
          <w:sz w:val="24"/>
          <w:szCs w:val="24"/>
        </w:rPr>
        <w:t>ем</w:t>
      </w:r>
      <w:r w:rsidRPr="00196D43">
        <w:rPr>
          <w:rFonts w:ascii="Times New Roman" w:hAnsi="Times New Roman"/>
          <w:sz w:val="24"/>
          <w:szCs w:val="24"/>
        </w:rPr>
        <w:t xml:space="preserve"> </w:t>
      </w:r>
      <w:r w:rsidR="00CA4AB3" w:rsidRPr="00196D43">
        <w:rPr>
          <w:rFonts w:ascii="Times New Roman" w:hAnsi="Times New Roman"/>
          <w:sz w:val="24"/>
          <w:szCs w:val="24"/>
        </w:rPr>
        <w:t>а</w:t>
      </w:r>
      <w:r w:rsidRPr="00196D43">
        <w:rPr>
          <w:rFonts w:ascii="Times New Roman" w:hAnsi="Times New Roman"/>
          <w:sz w:val="24"/>
          <w:szCs w:val="24"/>
        </w:rPr>
        <w:t xml:space="preserve">дминистрации </w:t>
      </w:r>
      <w:r w:rsidR="009E101A" w:rsidRPr="00196D43">
        <w:rPr>
          <w:rFonts w:ascii="Times New Roman" w:hAnsi="Times New Roman"/>
          <w:sz w:val="24"/>
          <w:szCs w:val="24"/>
        </w:rPr>
        <w:t>Немского муниципального округа</w:t>
      </w:r>
    </w:p>
    <w:p w:rsidR="00854E5E" w:rsidRPr="00196D43" w:rsidRDefault="00916380" w:rsidP="00916380">
      <w:pPr>
        <w:ind w:left="5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854E5E" w:rsidRPr="00196D4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196D43" w:rsidRPr="00196D4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54E5E" w:rsidRPr="00196D43" w:rsidRDefault="00854E5E" w:rsidP="00854E5E">
      <w:pPr>
        <w:ind w:left="5940"/>
        <w:jc w:val="right"/>
        <w:rPr>
          <w:rFonts w:ascii="Times New Roman" w:hAnsi="Times New Roman"/>
          <w:sz w:val="24"/>
          <w:szCs w:val="24"/>
        </w:rPr>
      </w:pPr>
    </w:p>
    <w:p w:rsidR="00854E5E" w:rsidRPr="00196D43" w:rsidRDefault="00854E5E" w:rsidP="00854E5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6D43"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охраняемым законо</w:t>
      </w:r>
      <w:r w:rsidR="007000B8" w:rsidRPr="00196D43">
        <w:rPr>
          <w:rFonts w:ascii="Times New Roman" w:hAnsi="Times New Roman"/>
          <w:b/>
          <w:sz w:val="24"/>
          <w:szCs w:val="24"/>
        </w:rPr>
        <w:t>м ценностям на 202</w:t>
      </w:r>
      <w:r w:rsidR="009B6D87">
        <w:rPr>
          <w:rFonts w:ascii="Times New Roman" w:hAnsi="Times New Roman"/>
          <w:b/>
          <w:sz w:val="24"/>
          <w:szCs w:val="24"/>
        </w:rPr>
        <w:t>4</w:t>
      </w:r>
      <w:r w:rsidR="00FA3642" w:rsidRPr="00196D43">
        <w:rPr>
          <w:rFonts w:ascii="Times New Roman" w:hAnsi="Times New Roman"/>
          <w:b/>
          <w:sz w:val="24"/>
          <w:szCs w:val="24"/>
        </w:rPr>
        <w:t xml:space="preserve"> год </w:t>
      </w:r>
      <w:r w:rsidRPr="00196D43">
        <w:rPr>
          <w:rFonts w:ascii="Times New Roman" w:hAnsi="Times New Roman"/>
          <w:b/>
          <w:sz w:val="24"/>
          <w:szCs w:val="24"/>
        </w:rPr>
        <w:t>муниципального контроля</w:t>
      </w:r>
      <w:r w:rsidR="00FA3642" w:rsidRPr="00196D43">
        <w:rPr>
          <w:rFonts w:ascii="Times New Roman" w:hAnsi="Times New Roman"/>
          <w:b/>
          <w:sz w:val="24"/>
          <w:szCs w:val="24"/>
        </w:rPr>
        <w:t xml:space="preserve"> в сфере благоустройства на территории</w:t>
      </w:r>
      <w:r w:rsidR="007000B8" w:rsidRPr="00196D43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9E101A" w:rsidRPr="00196D43">
        <w:rPr>
          <w:rFonts w:ascii="Times New Roman" w:hAnsi="Times New Roman"/>
          <w:b/>
          <w:sz w:val="24"/>
          <w:szCs w:val="24"/>
        </w:rPr>
        <w:t>Не</w:t>
      </w:r>
      <w:r w:rsidR="007000B8" w:rsidRPr="00196D43">
        <w:rPr>
          <w:rFonts w:ascii="Times New Roman" w:hAnsi="Times New Roman"/>
          <w:b/>
          <w:sz w:val="24"/>
          <w:szCs w:val="24"/>
        </w:rPr>
        <w:t>мский муниципальный округ</w:t>
      </w:r>
      <w:r w:rsidRPr="00196D43">
        <w:rPr>
          <w:rFonts w:ascii="Times New Roman" w:hAnsi="Times New Roman"/>
          <w:b/>
          <w:sz w:val="24"/>
          <w:szCs w:val="24"/>
        </w:rPr>
        <w:t xml:space="preserve"> </w:t>
      </w:r>
      <w:r w:rsidR="00FA3642" w:rsidRPr="00196D43">
        <w:rPr>
          <w:rFonts w:ascii="Times New Roman" w:hAnsi="Times New Roman"/>
          <w:b/>
          <w:sz w:val="24"/>
          <w:szCs w:val="24"/>
        </w:rPr>
        <w:t>Кировской области</w:t>
      </w:r>
    </w:p>
    <w:p w:rsidR="00854E5E" w:rsidRPr="00196D43" w:rsidRDefault="00854E5E" w:rsidP="00854E5E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54E5E" w:rsidRPr="00196D43" w:rsidRDefault="00854E5E" w:rsidP="00FA3642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96D43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7000B8" w:rsidRPr="00196D43">
        <w:rPr>
          <w:rFonts w:ascii="Times New Roman" w:hAnsi="Times New Roman"/>
          <w:sz w:val="24"/>
          <w:szCs w:val="24"/>
        </w:rPr>
        <w:t xml:space="preserve">няемым законом ценностям </w:t>
      </w:r>
      <w:r w:rsidR="00FA3642" w:rsidRPr="00196D43">
        <w:rPr>
          <w:rFonts w:ascii="Times New Roman" w:hAnsi="Times New Roman"/>
          <w:sz w:val="24"/>
          <w:szCs w:val="24"/>
        </w:rPr>
        <w:t xml:space="preserve">муниципального контроля в сфере благоустройства </w:t>
      </w:r>
      <w:r w:rsidR="009E101A" w:rsidRPr="00196D43">
        <w:rPr>
          <w:rFonts w:ascii="Times New Roman" w:hAnsi="Times New Roman"/>
          <w:sz w:val="24"/>
          <w:szCs w:val="24"/>
        </w:rPr>
        <w:t xml:space="preserve">на территории </w:t>
      </w:r>
      <w:r w:rsidR="007000B8" w:rsidRPr="00196D43">
        <w:rPr>
          <w:rFonts w:ascii="Times New Roman" w:hAnsi="Times New Roman"/>
          <w:sz w:val="24"/>
          <w:szCs w:val="24"/>
        </w:rPr>
        <w:t>муниципального образования Немский муниципальный округ Кировской области</w:t>
      </w:r>
      <w:r w:rsidR="00BF53A6" w:rsidRPr="00196D43">
        <w:rPr>
          <w:sz w:val="24"/>
          <w:szCs w:val="24"/>
        </w:rPr>
        <w:t xml:space="preserve"> </w:t>
      </w:r>
      <w:r w:rsidR="00BF53A6" w:rsidRPr="00196D43">
        <w:rPr>
          <w:rFonts w:ascii="Times New Roman" w:hAnsi="Times New Roman"/>
          <w:sz w:val="24"/>
          <w:szCs w:val="24"/>
        </w:rPr>
        <w:t>на 20</w:t>
      </w:r>
      <w:r w:rsidR="005D0E9A">
        <w:rPr>
          <w:rFonts w:ascii="Times New Roman" w:hAnsi="Times New Roman"/>
          <w:sz w:val="24"/>
          <w:szCs w:val="24"/>
        </w:rPr>
        <w:t>25</w:t>
      </w:r>
      <w:r w:rsidR="00BF53A6" w:rsidRPr="00196D43">
        <w:rPr>
          <w:rFonts w:ascii="Times New Roman" w:hAnsi="Times New Roman"/>
          <w:sz w:val="24"/>
          <w:szCs w:val="24"/>
        </w:rPr>
        <w:t xml:space="preserve"> год</w:t>
      </w:r>
      <w:r w:rsidRPr="00196D43">
        <w:rPr>
          <w:rFonts w:ascii="Times New Roman" w:hAnsi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</w:t>
      </w:r>
      <w:r w:rsidR="00982937" w:rsidRPr="00196D43">
        <w:rPr>
          <w:rFonts w:ascii="Times New Roman" w:hAnsi="Times New Roman"/>
          <w:sz w:val="24"/>
          <w:szCs w:val="24"/>
        </w:rPr>
        <w:t>юридическими лицами</w:t>
      </w:r>
      <w:r w:rsidRPr="00196D43">
        <w:rPr>
          <w:rFonts w:ascii="Times New Roman" w:hAnsi="Times New Roman"/>
          <w:sz w:val="24"/>
          <w:szCs w:val="24"/>
        </w:rPr>
        <w:t>,</w:t>
      </w:r>
      <w:r w:rsidR="00982937" w:rsidRPr="00196D43">
        <w:rPr>
          <w:rFonts w:ascii="Times New Roman" w:hAnsi="Times New Roman"/>
          <w:sz w:val="24"/>
          <w:szCs w:val="24"/>
        </w:rPr>
        <w:t xml:space="preserve"> индивидуальными предпринимателями и гражданами (далее –</w:t>
      </w:r>
      <w:r w:rsidR="003E2DCB" w:rsidRPr="00196D43">
        <w:rPr>
          <w:rFonts w:ascii="Times New Roman" w:hAnsi="Times New Roman"/>
          <w:sz w:val="24"/>
          <w:szCs w:val="24"/>
        </w:rPr>
        <w:t xml:space="preserve"> </w:t>
      </w:r>
      <w:r w:rsidR="00982937" w:rsidRPr="00196D43">
        <w:rPr>
          <w:rFonts w:ascii="Times New Roman" w:hAnsi="Times New Roman"/>
          <w:sz w:val="24"/>
          <w:szCs w:val="24"/>
        </w:rPr>
        <w:t xml:space="preserve">контролируемые лица), </w:t>
      </w:r>
      <w:r w:rsidRPr="00196D43">
        <w:rPr>
          <w:rFonts w:ascii="Times New Roman" w:hAnsi="Times New Roman"/>
          <w:sz w:val="24"/>
          <w:szCs w:val="24"/>
        </w:rPr>
        <w:t>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196D43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101A" w:rsidRPr="00196D43" w:rsidRDefault="00F67813" w:rsidP="00FA3642">
      <w:pPr>
        <w:pStyle w:val="a8"/>
        <w:shd w:val="clear" w:color="auto" w:fill="FFFFFF"/>
        <w:spacing w:before="0" w:beforeAutospacing="0" w:after="180" w:afterAutospacing="0" w:line="276" w:lineRule="auto"/>
        <w:jc w:val="both"/>
        <w:rPr>
          <w:color w:val="1E1D1E"/>
        </w:rPr>
      </w:pPr>
      <w:r w:rsidRPr="00196D43">
        <w:t xml:space="preserve">          </w:t>
      </w:r>
      <w:r w:rsidR="00854E5E" w:rsidRPr="00196D43">
        <w:t xml:space="preserve">Настоящая Программа подлежит исполнению </w:t>
      </w:r>
      <w:r w:rsidR="00982937" w:rsidRPr="00196D43">
        <w:t>уполномоченным</w:t>
      </w:r>
      <w:r w:rsidR="00B6483F" w:rsidRPr="00196D43">
        <w:t>и органами</w:t>
      </w:r>
      <w:r w:rsidR="00982937" w:rsidRPr="00196D43">
        <w:t xml:space="preserve"> по осуществлению муниципальной функции – Администрацией </w:t>
      </w:r>
      <w:r w:rsidR="009E101A" w:rsidRPr="00196D43">
        <w:t>Немского</w:t>
      </w:r>
      <w:r w:rsidR="003E7E03" w:rsidRPr="00196D43">
        <w:t xml:space="preserve"> муниципального округа Кировской области</w:t>
      </w:r>
      <w:r w:rsidR="009E101A" w:rsidRPr="00196D43">
        <w:t xml:space="preserve">, </w:t>
      </w:r>
      <w:r w:rsidR="009E101A" w:rsidRPr="00196D43">
        <w:rPr>
          <w:color w:val="1E1D1E"/>
        </w:rPr>
        <w:t>Архангельским территориальным управлением Администрации Немского муниципального ок</w:t>
      </w:r>
      <w:r w:rsidR="00FA3642" w:rsidRPr="00196D43">
        <w:rPr>
          <w:color w:val="1E1D1E"/>
        </w:rPr>
        <w:t>руга Кировской области, Ильинск</w:t>
      </w:r>
      <w:r w:rsidR="009E101A" w:rsidRPr="00196D43">
        <w:rPr>
          <w:color w:val="1E1D1E"/>
        </w:rPr>
        <w:t xml:space="preserve">им территориальным управлением Администрации Немского муниципального округа Кировской области, </w:t>
      </w:r>
      <w:r w:rsidR="00CA4AB3" w:rsidRPr="00196D43">
        <w:rPr>
          <w:color w:val="1E1D1E"/>
        </w:rPr>
        <w:t>Т</w:t>
      </w:r>
      <w:r w:rsidR="009E101A" w:rsidRPr="00196D43">
        <w:rPr>
          <w:color w:val="1E1D1E"/>
        </w:rPr>
        <w:t>ерриториальным управлени</w:t>
      </w:r>
      <w:r w:rsidR="00B6483F" w:rsidRPr="00196D43">
        <w:rPr>
          <w:color w:val="1E1D1E"/>
        </w:rPr>
        <w:t>е</w:t>
      </w:r>
      <w:r w:rsidR="009E101A" w:rsidRPr="00196D43">
        <w:rPr>
          <w:color w:val="1E1D1E"/>
        </w:rPr>
        <w:t>м пгт.</w:t>
      </w:r>
      <w:r w:rsidR="00B6483F" w:rsidRPr="00196D43">
        <w:rPr>
          <w:color w:val="1E1D1E"/>
        </w:rPr>
        <w:t xml:space="preserve"> </w:t>
      </w:r>
      <w:r w:rsidR="009E101A" w:rsidRPr="00196D43">
        <w:rPr>
          <w:color w:val="1E1D1E"/>
        </w:rPr>
        <w:t>Нема Администрации Немского муниципального округа Кировской области, Немским сельским территориальным управлением Администрации Немского муниципального округа Кировской области.</w:t>
      </w:r>
    </w:p>
    <w:p w:rsidR="00854E5E" w:rsidRPr="00196D43" w:rsidRDefault="00854E5E" w:rsidP="00700B86">
      <w:pPr>
        <w:jc w:val="center"/>
        <w:rPr>
          <w:rFonts w:ascii="Times New Roman" w:hAnsi="Times New Roman"/>
          <w:b/>
          <w:sz w:val="24"/>
          <w:szCs w:val="24"/>
        </w:rPr>
      </w:pPr>
      <w:r w:rsidRPr="00196D43">
        <w:rPr>
          <w:rFonts w:ascii="Times New Roman" w:hAnsi="Times New Roman"/>
          <w:b/>
          <w:sz w:val="24"/>
          <w:szCs w:val="24"/>
        </w:rPr>
        <w:t xml:space="preserve">1. Анализ текущего состояния осуществления </w:t>
      </w:r>
      <w:r w:rsidR="00FE1599" w:rsidRPr="00196D43">
        <w:rPr>
          <w:rFonts w:ascii="Times New Roman" w:hAnsi="Times New Roman"/>
          <w:b/>
          <w:sz w:val="24"/>
          <w:szCs w:val="24"/>
        </w:rPr>
        <w:t>муниципального контроля в сфере благоустройства</w:t>
      </w:r>
      <w:r w:rsidRPr="00196D43">
        <w:rPr>
          <w:rFonts w:ascii="Times New Roman" w:hAnsi="Times New Roman"/>
          <w:b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13B0" w:rsidRPr="00196D43" w:rsidRDefault="00B613B0" w:rsidP="00700B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4E5E" w:rsidRPr="00196D43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1.1. Вид муниципального контроля: м</w:t>
      </w:r>
      <w:r w:rsidR="00FE1599" w:rsidRPr="00196D43">
        <w:rPr>
          <w:rFonts w:ascii="Times New Roman" w:hAnsi="Times New Roman"/>
          <w:sz w:val="24"/>
          <w:szCs w:val="24"/>
        </w:rPr>
        <w:t xml:space="preserve">униципальный </w:t>
      </w:r>
      <w:r w:rsidRPr="00196D43">
        <w:rPr>
          <w:rFonts w:ascii="Times New Roman" w:hAnsi="Times New Roman"/>
          <w:sz w:val="24"/>
          <w:szCs w:val="24"/>
        </w:rPr>
        <w:t>контроль</w:t>
      </w:r>
      <w:r w:rsidR="00FE1599" w:rsidRPr="00196D43">
        <w:rPr>
          <w:rFonts w:ascii="Times New Roman" w:hAnsi="Times New Roman"/>
          <w:sz w:val="24"/>
          <w:szCs w:val="24"/>
        </w:rPr>
        <w:t xml:space="preserve"> в сфере благоустройства</w:t>
      </w:r>
      <w:r w:rsidRPr="00196D43">
        <w:rPr>
          <w:rFonts w:ascii="Times New Roman" w:hAnsi="Times New Roman"/>
          <w:sz w:val="24"/>
          <w:szCs w:val="24"/>
        </w:rPr>
        <w:t>.</w:t>
      </w:r>
    </w:p>
    <w:p w:rsidR="00854E5E" w:rsidRPr="00196D43" w:rsidRDefault="00854E5E" w:rsidP="00C3066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196D43">
        <w:rPr>
          <w:sz w:val="24"/>
          <w:szCs w:val="24"/>
        </w:rPr>
        <w:t>1.2. Предметом муниципального контроля на террито</w:t>
      </w:r>
      <w:r w:rsidR="00FE1599" w:rsidRPr="00196D43">
        <w:rPr>
          <w:sz w:val="24"/>
          <w:szCs w:val="24"/>
        </w:rPr>
        <w:t>рии муниципального образования</w:t>
      </w:r>
      <w:r w:rsidRPr="00196D43">
        <w:rPr>
          <w:sz w:val="24"/>
          <w:szCs w:val="24"/>
        </w:rPr>
        <w:t xml:space="preserve"> является:</w:t>
      </w:r>
    </w:p>
    <w:p w:rsidR="00360988" w:rsidRPr="00196D43" w:rsidRDefault="00854E5E" w:rsidP="00FE159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 </w:t>
      </w:r>
      <w:r w:rsidR="00360988" w:rsidRPr="00196D43">
        <w:rPr>
          <w:rFonts w:ascii="Times New Roman" w:hAnsi="Times New Roman"/>
          <w:sz w:val="24"/>
          <w:szCs w:val="24"/>
        </w:rPr>
        <w:t>соблюдение Правил</w:t>
      </w:r>
      <w:r w:rsidR="00FE1599" w:rsidRPr="00196D43">
        <w:rPr>
          <w:rFonts w:ascii="Times New Roman" w:hAnsi="Times New Roman"/>
          <w:sz w:val="24"/>
          <w:szCs w:val="24"/>
        </w:rPr>
        <w:t xml:space="preserve"> внешнего благоустройства в муниципальном образовании «Немский  муниципальный округ Кировской области» (далее – Правила), в том числе требований </w:t>
      </w:r>
      <w:proofErr w:type="gramStart"/>
      <w:r w:rsidR="00FE1599" w:rsidRPr="00196D43">
        <w:rPr>
          <w:rFonts w:ascii="Times New Roman" w:hAnsi="Times New Roman"/>
          <w:sz w:val="24"/>
          <w:szCs w:val="24"/>
        </w:rPr>
        <w:t>к</w:t>
      </w:r>
      <w:proofErr w:type="gramEnd"/>
      <w:r w:rsidR="00360988" w:rsidRPr="00196D43">
        <w:rPr>
          <w:rFonts w:ascii="Times New Roman" w:hAnsi="Times New Roman"/>
          <w:sz w:val="24"/>
          <w:szCs w:val="24"/>
        </w:rPr>
        <w:t>:</w:t>
      </w:r>
    </w:p>
    <w:p w:rsidR="00FE1599" w:rsidRPr="00196D43" w:rsidRDefault="00F9126F" w:rsidP="00FE1599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1)</w:t>
      </w:r>
      <w:r w:rsidR="00360988" w:rsidRPr="00196D43">
        <w:rPr>
          <w:rFonts w:ascii="Times New Roman" w:hAnsi="Times New Roman"/>
          <w:sz w:val="24"/>
          <w:szCs w:val="24"/>
        </w:rPr>
        <w:t xml:space="preserve"> </w:t>
      </w:r>
      <w:r w:rsidR="00FE1599" w:rsidRPr="00196D43">
        <w:rPr>
          <w:rFonts w:ascii="Times New Roman" w:hAnsi="Times New Roman"/>
          <w:sz w:val="24"/>
          <w:szCs w:val="24"/>
        </w:rPr>
        <w:t>обеспечению доступности для инвалидов объектов социальной, инженерной и транспортной инфраструктур и предоставляемых услуг в муниципальном образовании «Немский муницип</w:t>
      </w:r>
      <w:r w:rsidR="00BB24D8" w:rsidRPr="00196D43">
        <w:rPr>
          <w:rFonts w:ascii="Times New Roman" w:hAnsi="Times New Roman"/>
          <w:sz w:val="24"/>
          <w:szCs w:val="24"/>
        </w:rPr>
        <w:t>альный округ Кировской области»</w:t>
      </w:r>
      <w:r w:rsidR="00360988" w:rsidRPr="00196D43">
        <w:rPr>
          <w:rFonts w:ascii="Times New Roman" w:hAnsi="Times New Roman"/>
          <w:sz w:val="24"/>
          <w:szCs w:val="24"/>
        </w:rPr>
        <w:t>;</w:t>
      </w:r>
    </w:p>
    <w:p w:rsidR="00360988" w:rsidRPr="00196D43" w:rsidRDefault="00360988" w:rsidP="00360988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2) деятельности, действиям (бездействиям) контролируемых лиц, связанных с соблюдением Правил;</w:t>
      </w:r>
    </w:p>
    <w:p w:rsidR="00360988" w:rsidRPr="00196D43" w:rsidRDefault="00F9126F" w:rsidP="003609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3)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результатам деятельности граждан и организаций, работ и услуг, к которым предъявляются обязательные требования;</w:t>
      </w:r>
    </w:p>
    <w:p w:rsidR="00902199" w:rsidRPr="00196D43" w:rsidRDefault="00F9126F" w:rsidP="0036098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96D43">
        <w:rPr>
          <w:rFonts w:ascii="Times New Roman" w:hAnsi="Times New Roman"/>
          <w:bCs/>
          <w:sz w:val="24"/>
          <w:szCs w:val="24"/>
        </w:rPr>
        <w:t>4)</w:t>
      </w:r>
      <w:r w:rsidR="00902199" w:rsidRPr="00196D43">
        <w:rPr>
          <w:rFonts w:ascii="Times New Roman" w:hAnsi="Times New Roman"/>
          <w:bCs/>
          <w:sz w:val="24"/>
          <w:szCs w:val="24"/>
        </w:rPr>
        <w:t xml:space="preserve"> </w:t>
      </w:r>
      <w:r w:rsidR="00360988" w:rsidRPr="00196D43">
        <w:rPr>
          <w:rFonts w:ascii="Times New Roman" w:hAnsi="Times New Roman"/>
          <w:bCs/>
          <w:sz w:val="24"/>
          <w:szCs w:val="24"/>
        </w:rPr>
        <w:t>здания</w:t>
      </w:r>
      <w:r w:rsidR="00902199" w:rsidRPr="00196D43">
        <w:rPr>
          <w:rFonts w:ascii="Times New Roman" w:hAnsi="Times New Roman"/>
          <w:bCs/>
          <w:sz w:val="24"/>
          <w:szCs w:val="24"/>
        </w:rPr>
        <w:t>м</w:t>
      </w:r>
      <w:r w:rsidR="00360988" w:rsidRPr="00196D43">
        <w:rPr>
          <w:rFonts w:ascii="Times New Roman" w:hAnsi="Times New Roman"/>
          <w:bCs/>
          <w:sz w:val="24"/>
          <w:szCs w:val="24"/>
        </w:rPr>
        <w:t>, помещения</w:t>
      </w:r>
      <w:r w:rsidR="00902199" w:rsidRPr="00196D43">
        <w:rPr>
          <w:rFonts w:ascii="Times New Roman" w:hAnsi="Times New Roman"/>
          <w:bCs/>
          <w:sz w:val="24"/>
          <w:szCs w:val="24"/>
        </w:rPr>
        <w:t>м</w:t>
      </w:r>
      <w:r w:rsidR="00360988" w:rsidRPr="00196D43">
        <w:rPr>
          <w:rFonts w:ascii="Times New Roman" w:hAnsi="Times New Roman"/>
          <w:bCs/>
          <w:sz w:val="24"/>
          <w:szCs w:val="24"/>
        </w:rPr>
        <w:t>, сооружения</w:t>
      </w:r>
      <w:r w:rsidR="00902199" w:rsidRPr="00196D43">
        <w:rPr>
          <w:rFonts w:ascii="Times New Roman" w:hAnsi="Times New Roman"/>
          <w:bCs/>
          <w:sz w:val="24"/>
          <w:szCs w:val="24"/>
        </w:rPr>
        <w:t>м, линейным объектам, территориям</w:t>
      </w:r>
      <w:r w:rsidR="00360988" w:rsidRPr="00196D43">
        <w:rPr>
          <w:rFonts w:ascii="Times New Roman" w:hAnsi="Times New Roman"/>
          <w:bCs/>
          <w:sz w:val="24"/>
          <w:szCs w:val="24"/>
        </w:rPr>
        <w:t>, пре</w:t>
      </w:r>
      <w:r w:rsidR="00902199" w:rsidRPr="00196D43">
        <w:rPr>
          <w:rFonts w:ascii="Times New Roman" w:hAnsi="Times New Roman"/>
          <w:bCs/>
          <w:sz w:val="24"/>
          <w:szCs w:val="24"/>
        </w:rPr>
        <w:t>дметам, материалам, транспортным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средства</w:t>
      </w:r>
      <w:r w:rsidR="00902199" w:rsidRPr="00196D43">
        <w:rPr>
          <w:rFonts w:ascii="Times New Roman" w:hAnsi="Times New Roman"/>
          <w:bCs/>
          <w:sz w:val="24"/>
          <w:szCs w:val="24"/>
        </w:rPr>
        <w:t>м, природным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и                </w:t>
      </w:r>
      <w:r w:rsidR="00902199" w:rsidRPr="00196D43">
        <w:rPr>
          <w:rFonts w:ascii="Times New Roman" w:hAnsi="Times New Roman"/>
          <w:bCs/>
          <w:sz w:val="24"/>
          <w:szCs w:val="24"/>
        </w:rPr>
        <w:t xml:space="preserve">          природно-антропогенным объектам, другим объектам</w:t>
      </w:r>
      <w:r w:rsidR="00360988" w:rsidRPr="00196D43">
        <w:rPr>
          <w:rFonts w:ascii="Times New Roman" w:hAnsi="Times New Roman"/>
          <w:bCs/>
          <w:sz w:val="24"/>
          <w:szCs w:val="24"/>
        </w:rPr>
        <w:t>, которыми граждане или организации владеют и (</w:t>
      </w:r>
      <w:r w:rsidR="00902199" w:rsidRPr="00196D43">
        <w:rPr>
          <w:rFonts w:ascii="Times New Roman" w:hAnsi="Times New Roman"/>
          <w:bCs/>
          <w:sz w:val="24"/>
          <w:szCs w:val="24"/>
        </w:rPr>
        <w:t>или) пользуются, а также объектам, не находящимся</w:t>
      </w:r>
      <w:r w:rsidR="00360988" w:rsidRPr="00196D43">
        <w:rPr>
          <w:rFonts w:ascii="Times New Roman" w:hAnsi="Times New Roman"/>
          <w:bCs/>
          <w:sz w:val="24"/>
          <w:szCs w:val="24"/>
        </w:rPr>
        <w:t xml:space="preserve"> во владении и (или) пользовании граждан и организаций, к которым предъявляются обязательные требования (далее – объекты).</w:t>
      </w:r>
    </w:p>
    <w:p w:rsidR="00854E5E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6D43" w:rsidRDefault="00196D43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96D43" w:rsidRPr="00196D43" w:rsidRDefault="00196D43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54E5E" w:rsidRPr="00196D43" w:rsidRDefault="00854E5E" w:rsidP="00700B86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F9126F" w:rsidRPr="00196D43" w:rsidRDefault="00F9126F" w:rsidP="00700B86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54E5E" w:rsidRPr="00196D43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2.1. Целями </w:t>
      </w:r>
      <w:r w:rsidR="003E2DCB" w:rsidRPr="00196D43">
        <w:rPr>
          <w:rFonts w:ascii="Times New Roman" w:hAnsi="Times New Roman"/>
          <w:sz w:val="24"/>
          <w:szCs w:val="24"/>
        </w:rPr>
        <w:t>Программы</w:t>
      </w:r>
      <w:r w:rsidRPr="00196D43">
        <w:rPr>
          <w:rFonts w:ascii="Times New Roman" w:hAnsi="Times New Roman"/>
          <w:sz w:val="24"/>
          <w:szCs w:val="24"/>
        </w:rPr>
        <w:t xml:space="preserve"> являются:</w:t>
      </w:r>
    </w:p>
    <w:p w:rsidR="00854E5E" w:rsidRPr="00196D43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</w:t>
      </w:r>
      <w:r w:rsidR="00854E5E" w:rsidRPr="00196D43">
        <w:rPr>
          <w:rFonts w:ascii="Times New Roman" w:hAnsi="Times New Roman"/>
          <w:sz w:val="24"/>
          <w:szCs w:val="24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196D43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2</w:t>
      </w:r>
      <w:r w:rsidR="00854E5E" w:rsidRPr="00196D43">
        <w:rPr>
          <w:rFonts w:ascii="Times New Roman" w:hAnsi="Times New Roman"/>
          <w:sz w:val="24"/>
          <w:szCs w:val="24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196D43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3</w:t>
      </w:r>
      <w:r w:rsidR="00854E5E" w:rsidRPr="00196D43">
        <w:rPr>
          <w:rFonts w:ascii="Times New Roman" w:hAnsi="Times New Roman"/>
          <w:sz w:val="24"/>
          <w:szCs w:val="24"/>
        </w:rPr>
        <w:t>) снижение размера ущерба, причиняемого охраняемым законом ценностям.</w:t>
      </w:r>
    </w:p>
    <w:p w:rsidR="00854E5E" w:rsidRPr="00196D43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2.2. Задачами </w:t>
      </w:r>
      <w:r w:rsidR="003E2DCB" w:rsidRPr="00196D43">
        <w:rPr>
          <w:rFonts w:ascii="Times New Roman" w:hAnsi="Times New Roman"/>
          <w:sz w:val="24"/>
          <w:szCs w:val="24"/>
        </w:rPr>
        <w:t>Программы</w:t>
      </w:r>
      <w:r w:rsidRPr="00196D43">
        <w:rPr>
          <w:rFonts w:ascii="Times New Roman" w:hAnsi="Times New Roman"/>
          <w:sz w:val="24"/>
          <w:szCs w:val="24"/>
        </w:rPr>
        <w:t xml:space="preserve"> являются:</w:t>
      </w:r>
    </w:p>
    <w:p w:rsidR="00854E5E" w:rsidRPr="00196D43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54E5E" w:rsidRPr="00196D43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196D43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 xml:space="preserve">3) </w:t>
      </w:r>
      <w:r w:rsidR="003E2DCB" w:rsidRPr="00196D43">
        <w:rPr>
          <w:rFonts w:ascii="Times New Roman" w:hAnsi="Times New Roman"/>
          <w:sz w:val="24"/>
          <w:szCs w:val="24"/>
        </w:rPr>
        <w:t>снижение административной нагрузки на контролируемых лиц</w:t>
      </w:r>
      <w:r w:rsidR="00B613B0" w:rsidRPr="00196D43">
        <w:rPr>
          <w:rFonts w:ascii="Times New Roman" w:hAnsi="Times New Roman"/>
          <w:sz w:val="24"/>
          <w:szCs w:val="24"/>
        </w:rPr>
        <w:t>;</w:t>
      </w:r>
    </w:p>
    <w:p w:rsidR="00854E5E" w:rsidRPr="00196D43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4</w:t>
      </w:r>
      <w:r w:rsidR="00854E5E" w:rsidRPr="00196D43">
        <w:rPr>
          <w:rFonts w:ascii="Times New Roman" w:hAnsi="Times New Roman"/>
          <w:sz w:val="24"/>
          <w:szCs w:val="24"/>
        </w:rPr>
        <w:t xml:space="preserve">) повышение правосознания и правовой культуры </w:t>
      </w:r>
      <w:r w:rsidRPr="00196D43">
        <w:rPr>
          <w:rFonts w:ascii="Times New Roman" w:hAnsi="Times New Roman"/>
          <w:sz w:val="24"/>
          <w:szCs w:val="24"/>
        </w:rPr>
        <w:t>контролируемых лиц</w:t>
      </w:r>
      <w:r w:rsidR="00854E5E" w:rsidRPr="00196D43">
        <w:rPr>
          <w:rFonts w:ascii="Times New Roman" w:hAnsi="Times New Roman"/>
          <w:sz w:val="24"/>
          <w:szCs w:val="24"/>
        </w:rPr>
        <w:t xml:space="preserve"> в сфере рассматриваемых правоотношений.</w:t>
      </w:r>
    </w:p>
    <w:p w:rsidR="00854E5E" w:rsidRPr="00196D43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54E5E" w:rsidRPr="00196D43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C6A0A" w:rsidRPr="00196D43" w:rsidRDefault="009C6A0A" w:rsidP="00700B86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4656"/>
        <w:gridCol w:w="1887"/>
        <w:gridCol w:w="2420"/>
      </w:tblGrid>
      <w:tr w:rsidR="009C6A0A" w:rsidRPr="00196D43" w:rsidTr="00712E1B">
        <w:tc>
          <w:tcPr>
            <w:tcW w:w="665" w:type="dxa"/>
            <w:vAlign w:val="center"/>
          </w:tcPr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56" w:type="dxa"/>
            <w:vAlign w:val="center"/>
          </w:tcPr>
          <w:p w:rsidR="009C6A0A" w:rsidRPr="00196D43" w:rsidRDefault="009C6A0A" w:rsidP="00712E1B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C6A0A" w:rsidRPr="00196D43" w:rsidRDefault="009C6A0A" w:rsidP="00712E1B">
            <w:pPr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Align w:val="center"/>
          </w:tcPr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20" w:type="dxa"/>
            <w:vAlign w:val="center"/>
          </w:tcPr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6A0A" w:rsidRPr="00196D43" w:rsidTr="00712E1B">
        <w:tc>
          <w:tcPr>
            <w:tcW w:w="665" w:type="dxa"/>
          </w:tcPr>
          <w:p w:rsidR="009C6A0A" w:rsidRPr="00196D43" w:rsidRDefault="009C6A0A" w:rsidP="00700B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656" w:type="dxa"/>
          </w:tcPr>
          <w:p w:rsidR="009C6A0A" w:rsidRPr="00196D43" w:rsidRDefault="009C6A0A" w:rsidP="009C6A0A">
            <w:pPr>
              <w:pStyle w:val="ConsPlusNormal"/>
              <w:ind w:right="131" w:firstLine="119"/>
              <w:jc w:val="both"/>
              <w:rPr>
                <w:b/>
                <w:sz w:val="24"/>
                <w:szCs w:val="24"/>
              </w:rPr>
            </w:pPr>
            <w:r w:rsidRPr="00196D43">
              <w:rPr>
                <w:b/>
                <w:sz w:val="24"/>
                <w:szCs w:val="24"/>
              </w:rPr>
              <w:t>Информирование</w:t>
            </w:r>
          </w:p>
          <w:p w:rsidR="009C6A0A" w:rsidRPr="00196D43" w:rsidRDefault="00712E1B" w:rsidP="00712E1B">
            <w:pPr>
              <w:spacing w:line="320" w:lineRule="exact"/>
              <w:ind w:firstLine="753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C6A0A" w:rsidRPr="00196D43">
              <w:rPr>
                <w:rFonts w:ascii="Times New Roman" w:hAnsi="Times New Roman"/>
                <w:sz w:val="24"/>
                <w:szCs w:val="24"/>
              </w:rPr>
              <w:t xml:space="preserve">Немского  муниципального округа осуществляет информирование контролируемых лиц и иных заинтересованных лиц по вопросам соблюдения обязательных требований, устранения  условий, причин и факторов, способных привести к нарушениям обязательных требований и (или) причинению вреда охраняемым законом ценностям путем  размещения информации на своем официальном сайте в сети «Интернет», в средствах массовой информации, </w:t>
            </w:r>
            <w:r w:rsidR="009C6A0A"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9C6A0A" w:rsidRPr="00196D43" w:rsidRDefault="009C6A0A" w:rsidP="00712E1B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</w:tc>
        <w:tc>
          <w:tcPr>
            <w:tcW w:w="1887" w:type="dxa"/>
          </w:tcPr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420" w:type="dxa"/>
          </w:tcPr>
          <w:p w:rsidR="009C6A0A" w:rsidRPr="00196D43" w:rsidRDefault="009C6A0A" w:rsidP="00700B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</w:t>
            </w:r>
            <w:r w:rsidR="00F9126F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твление муниципального 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контроля</w:t>
            </w:r>
            <w:r w:rsidR="00F9126F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сфере благоустройства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9C6A0A" w:rsidRPr="00196D43" w:rsidTr="00712E1B">
        <w:tc>
          <w:tcPr>
            <w:tcW w:w="665" w:type="dxa"/>
          </w:tcPr>
          <w:p w:rsidR="009C6A0A" w:rsidRPr="00196D43" w:rsidRDefault="009C6A0A" w:rsidP="00700B8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656" w:type="dxa"/>
          </w:tcPr>
          <w:p w:rsidR="00712E1B" w:rsidRPr="00196D43" w:rsidRDefault="009C6A0A" w:rsidP="00712E1B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Консультирование </w:t>
            </w:r>
          </w:p>
          <w:p w:rsidR="009C6A0A" w:rsidRPr="00196D43" w:rsidRDefault="009C6A0A" w:rsidP="00712E1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9C6A0A" w:rsidRPr="00196D43" w:rsidRDefault="009C6A0A" w:rsidP="009C6A0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 осуществляется без взимания платы.</w:t>
            </w:r>
          </w:p>
          <w:p w:rsidR="009C6A0A" w:rsidRPr="00196D43" w:rsidRDefault="009C6A0A" w:rsidP="009C6A0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9C6A0A" w:rsidRPr="00140C66" w:rsidRDefault="009C6A0A" w:rsidP="00140C66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Личный прием граждан проводится уполномоченными инспекторами. Информация о месте приема, а также об установленных для приема днях и часах размещается на официальном сайте: </w:t>
            </w:r>
            <w:hyperlink r:id="rId8" w:tgtFrame="_blank" w:history="1">
              <w:r w:rsidR="00140C66" w:rsidRPr="00140C6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</w:rPr>
                <w:t>adm-nems.gosuslugi.ru</w:t>
              </w:r>
            </w:hyperlink>
          </w:p>
          <w:p w:rsidR="009C6A0A" w:rsidRPr="00196D43" w:rsidRDefault="009C6A0A" w:rsidP="009C6A0A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C6A0A" w:rsidRPr="00196D43" w:rsidRDefault="009C6A0A" w:rsidP="009C6A0A">
            <w:pPr>
              <w:numPr>
                <w:ilvl w:val="0"/>
                <w:numId w:val="4"/>
              </w:numPr>
              <w:spacing w:after="160" w:line="259" w:lineRule="auto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9C6A0A" w:rsidRPr="00196D43" w:rsidRDefault="009C6A0A" w:rsidP="009C6A0A">
            <w:pPr>
              <w:numPr>
                <w:ilvl w:val="0"/>
                <w:numId w:val="4"/>
              </w:numPr>
              <w:spacing w:after="160" w:line="259" w:lineRule="auto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9C6A0A" w:rsidRPr="00196D43" w:rsidRDefault="009C6A0A" w:rsidP="009C6A0A">
            <w:pPr>
              <w:numPr>
                <w:ilvl w:val="0"/>
                <w:numId w:val="4"/>
              </w:numPr>
              <w:spacing w:after="160" w:line="259" w:lineRule="auto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порядок обжалования решений уполномоченны</w:t>
            </w:r>
            <w:r w:rsidR="00980F12" w:rsidRPr="00196D43">
              <w:rPr>
                <w:rFonts w:ascii="Times New Roman" w:hAnsi="Times New Roman"/>
                <w:sz w:val="24"/>
                <w:szCs w:val="24"/>
              </w:rPr>
              <w:t>х органов, действий (бездействий</w:t>
            </w:r>
            <w:r w:rsidRPr="00196D43">
              <w:rPr>
                <w:rFonts w:ascii="Times New Roman" w:hAnsi="Times New Roman"/>
                <w:sz w:val="24"/>
                <w:szCs w:val="24"/>
              </w:rPr>
              <w:t>) должностных лиц</w:t>
            </w:r>
            <w:r w:rsidR="00980F12" w:rsidRPr="00196D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6D43">
              <w:rPr>
                <w:rFonts w:ascii="Times New Roman" w:hAnsi="Times New Roman"/>
                <w:sz w:val="24"/>
                <w:szCs w:val="24"/>
              </w:rPr>
              <w:t>осуществляющих муниципальный контроль;</w:t>
            </w:r>
          </w:p>
          <w:p w:rsidR="009C6A0A" w:rsidRPr="00196D43" w:rsidRDefault="009C6A0A" w:rsidP="009C6A0A">
            <w:pPr>
              <w:numPr>
                <w:ilvl w:val="0"/>
                <w:numId w:val="4"/>
              </w:numPr>
              <w:spacing w:after="160" w:line="259" w:lineRule="auto"/>
              <w:ind w:left="-70" w:firstLine="4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выполнение предписания, выданного по итогам контрольного мероприятия.</w:t>
            </w:r>
          </w:p>
          <w:p w:rsidR="009C6A0A" w:rsidRPr="00196D43" w:rsidRDefault="009C6A0A" w:rsidP="00140C66">
            <w:pPr>
              <w:shd w:val="clear" w:color="auto" w:fill="FFFFFF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196D4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196D43">
              <w:rPr>
                <w:rFonts w:ascii="Times New Roman" w:hAnsi="Times New Roman"/>
                <w:sz w:val="24"/>
                <w:szCs w:val="24"/>
              </w:rPr>
      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      </w:r>
            <w:r w:rsidRPr="00196D43">
              <w:rPr>
                <w:sz w:val="24"/>
                <w:szCs w:val="24"/>
              </w:rPr>
              <w:t xml:space="preserve"> </w:t>
            </w:r>
            <w:hyperlink r:id="rId9" w:tgtFrame="_blank" w:history="1">
              <w:r w:rsidR="00140C66" w:rsidRPr="00140C66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</w:rPr>
                <w:t>adm-nems.gosuslugi.ru</w:t>
              </w:r>
            </w:hyperlink>
            <w:r w:rsidRPr="00196D43">
              <w:rPr>
                <w:rFonts w:ascii="Times New Roman" w:hAnsi="Times New Roman"/>
                <w:sz w:val="24"/>
                <w:szCs w:val="24"/>
              </w:rPr>
      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887" w:type="dxa"/>
          </w:tcPr>
          <w:p w:rsidR="009C6A0A" w:rsidRPr="00196D43" w:rsidRDefault="009C6A0A" w:rsidP="00712E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420" w:type="dxa"/>
          </w:tcPr>
          <w:p w:rsidR="009C6A0A" w:rsidRPr="00196D43" w:rsidRDefault="009C6A0A" w:rsidP="00D17C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Должностное лицо, к должностным обязанностям которого относится осущест</w:t>
            </w:r>
            <w:r w:rsidR="00980F12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вление муниципального контроля в сфере </w:t>
            </w:r>
            <w:r w:rsidR="00980F12"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благоустройства</w:t>
            </w:r>
            <w:r w:rsidRPr="00196D4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24528" w:rsidRPr="00196D43" w:rsidTr="00712E1B">
        <w:tc>
          <w:tcPr>
            <w:tcW w:w="665" w:type="dxa"/>
          </w:tcPr>
          <w:p w:rsidR="00824528" w:rsidRPr="00523A4F" w:rsidRDefault="00824528" w:rsidP="00700B8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3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656" w:type="dxa"/>
          </w:tcPr>
          <w:p w:rsidR="00824528" w:rsidRPr="00523A4F" w:rsidRDefault="00824528" w:rsidP="00712E1B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  <w:p w:rsidR="00523A4F" w:rsidRPr="00523A4F" w:rsidRDefault="00523A4F" w:rsidP="00523A4F">
            <w:pPr>
              <w:ind w:firstLine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</w:t>
            </w: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использования видео-конференц-связи.</w:t>
            </w:r>
            <w:bookmarkStart w:id="0" w:name="_GoBack"/>
            <w:bookmarkEnd w:id="0"/>
          </w:p>
          <w:p w:rsidR="00523A4F" w:rsidRPr="00523A4F" w:rsidRDefault="00523A4F" w:rsidP="00523A4F">
            <w:pPr>
              <w:ind w:firstLine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523A4F" w:rsidRPr="00523A4F" w:rsidRDefault="00523A4F" w:rsidP="00523A4F">
            <w:pPr>
              <w:ind w:firstLine="186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3A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523A4F" w:rsidRPr="00523A4F" w:rsidRDefault="00523A4F" w:rsidP="00712E1B">
            <w:pPr>
              <w:ind w:firstLine="186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87" w:type="dxa"/>
          </w:tcPr>
          <w:p w:rsidR="00824528" w:rsidRPr="00196D43" w:rsidRDefault="00523A4F" w:rsidP="00712E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3A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420" w:type="dxa"/>
          </w:tcPr>
          <w:p w:rsidR="00824528" w:rsidRPr="00196D43" w:rsidRDefault="008C002A" w:rsidP="00D17CB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C0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Должностное лицо, к должностным обязанностям которого относится осуществление </w:t>
            </w:r>
            <w:r w:rsidRPr="008C002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муниципального контроля в сфере благоустройства</w:t>
            </w:r>
          </w:p>
        </w:tc>
      </w:tr>
    </w:tbl>
    <w:p w:rsidR="009C6A0A" w:rsidRPr="00196D43" w:rsidRDefault="009C6A0A" w:rsidP="00700B86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6D43" w:rsidRDefault="00196D43" w:rsidP="00980F12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6D43" w:rsidRDefault="00196D43" w:rsidP="00980F12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6D43" w:rsidRDefault="00196D43" w:rsidP="00980F12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96D43" w:rsidRDefault="00196D43" w:rsidP="00980F12">
      <w:pPr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854E5E" w:rsidRPr="00196D43" w:rsidRDefault="00854E5E" w:rsidP="00980F12">
      <w:pPr>
        <w:jc w:val="center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54E5E" w:rsidRPr="00196D43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7655"/>
        <w:gridCol w:w="1418"/>
      </w:tblGrid>
      <w:tr w:rsidR="00854E5E" w:rsidRPr="00196D43" w:rsidTr="00DD2FD2">
        <w:trPr>
          <w:trHeight w:hRule="exact" w:val="57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DD2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54E5E" w:rsidRPr="00196D43" w:rsidRDefault="00854E5E" w:rsidP="00DD2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DD2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E5E" w:rsidRPr="00196D43" w:rsidRDefault="00854E5E" w:rsidP="00DD2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9C6A0A" w:rsidRPr="00196D43" w:rsidTr="00DD2FD2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A" w:rsidRPr="00196D43" w:rsidRDefault="009C6A0A" w:rsidP="00980F1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6A0A" w:rsidRPr="00196D43" w:rsidRDefault="00501593" w:rsidP="00501593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D1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85139" w:rsidRPr="00196D43" w:rsidTr="00DD2FD2">
        <w:trPr>
          <w:trHeight w:hRule="exact" w:val="4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139" w:rsidRPr="00196D43" w:rsidRDefault="00B85139" w:rsidP="00980F1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5139" w:rsidRPr="00196D43" w:rsidRDefault="00501593" w:rsidP="00501593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5139" w:rsidRPr="00196D43" w:rsidRDefault="00B85139" w:rsidP="00D1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9C6A0A" w:rsidRPr="00196D43" w:rsidTr="00DD2FD2">
        <w:trPr>
          <w:trHeight w:hRule="exact" w:val="4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9C6A0A" w:rsidP="00980F12">
            <w:pPr>
              <w:widowControl w:val="0"/>
              <w:spacing w:line="36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501593" w:rsidP="00501593">
            <w:pPr>
              <w:pStyle w:val="ConsPlusNormal"/>
              <w:jc w:val="both"/>
              <w:rPr>
                <w:sz w:val="24"/>
                <w:szCs w:val="24"/>
              </w:rPr>
            </w:pPr>
            <w:r w:rsidRPr="00196D43">
              <w:rPr>
                <w:color w:val="010101"/>
                <w:sz w:val="24"/>
                <w:szCs w:val="24"/>
                <w:shd w:val="clear" w:color="auto" w:fill="FFFFFF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D17C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 xml:space="preserve">0% </w:t>
            </w:r>
          </w:p>
        </w:tc>
      </w:tr>
      <w:tr w:rsidR="009C6A0A" w:rsidRPr="00196D43" w:rsidTr="00DD2FD2">
        <w:trPr>
          <w:trHeight w:hRule="exact" w:val="19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9C6A0A" w:rsidP="00980F1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6A0A" w:rsidRPr="00196D43" w:rsidRDefault="00501593" w:rsidP="00912E0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контрольных мероприятий, проведенных органами муниципального контроля в сфере благоустройства с нарушениями требований законодательства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A0A" w:rsidRPr="00196D43" w:rsidRDefault="009C6A0A" w:rsidP="00D17CB3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501593" w:rsidRPr="00196D43" w:rsidTr="00DD2FD2">
        <w:trPr>
          <w:trHeight w:hRule="exact" w:val="4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593" w:rsidRPr="00196D43" w:rsidRDefault="00E86106" w:rsidP="00980F1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1593" w:rsidRPr="00196D43" w:rsidRDefault="00455662" w:rsidP="0050159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593" w:rsidRPr="00196D43" w:rsidRDefault="00455662" w:rsidP="00D17CB3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455662" w:rsidRPr="00196D43" w:rsidTr="00DD2FD2">
        <w:trPr>
          <w:trHeight w:hRule="exact" w:val="5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62" w:rsidRPr="00196D43" w:rsidRDefault="00455662" w:rsidP="00980F1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96D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662" w:rsidRPr="00196D43" w:rsidRDefault="00455662" w:rsidP="0050159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662" w:rsidRPr="00196D43" w:rsidRDefault="00455662" w:rsidP="00D17CB3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D4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</w:tbl>
    <w:p w:rsidR="00854E5E" w:rsidRPr="00196D43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196D43" w:rsidRDefault="00854E5E" w:rsidP="00854E5E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54E5E" w:rsidRPr="00196D43" w:rsidRDefault="00854E5E" w:rsidP="00E40DAF">
      <w:pPr>
        <w:rPr>
          <w:rFonts w:ascii="Times New Roman" w:hAnsi="Times New Roman"/>
          <w:sz w:val="24"/>
          <w:szCs w:val="24"/>
        </w:rPr>
      </w:pPr>
    </w:p>
    <w:p w:rsidR="00E569AB" w:rsidRPr="00196D43" w:rsidRDefault="00E569AB" w:rsidP="00E569AB">
      <w:pPr>
        <w:jc w:val="center"/>
        <w:rPr>
          <w:rFonts w:ascii="Times New Roman" w:hAnsi="Times New Roman"/>
          <w:sz w:val="24"/>
          <w:szCs w:val="24"/>
        </w:rPr>
      </w:pPr>
      <w:r w:rsidRPr="00196D43">
        <w:rPr>
          <w:rFonts w:ascii="Times New Roman" w:hAnsi="Times New Roman"/>
          <w:sz w:val="24"/>
          <w:szCs w:val="24"/>
        </w:rPr>
        <w:t>______________________</w:t>
      </w:r>
    </w:p>
    <w:sectPr w:rsidR="00E569AB" w:rsidRPr="00196D43" w:rsidSect="00196D43">
      <w:pgSz w:w="11906" w:h="16838"/>
      <w:pgMar w:top="39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BB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0AF6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0C6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032A"/>
    <w:rsid w:val="0019107D"/>
    <w:rsid w:val="00192F8E"/>
    <w:rsid w:val="00196D43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10E9"/>
    <w:rsid w:val="00222406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5352"/>
    <w:rsid w:val="002753F2"/>
    <w:rsid w:val="002778EB"/>
    <w:rsid w:val="00280499"/>
    <w:rsid w:val="0028118A"/>
    <w:rsid w:val="00282213"/>
    <w:rsid w:val="0028278A"/>
    <w:rsid w:val="002863BB"/>
    <w:rsid w:val="00287D71"/>
    <w:rsid w:val="002901D9"/>
    <w:rsid w:val="002926E4"/>
    <w:rsid w:val="0029700F"/>
    <w:rsid w:val="002A12D3"/>
    <w:rsid w:val="002A5705"/>
    <w:rsid w:val="002B2275"/>
    <w:rsid w:val="002B23CA"/>
    <w:rsid w:val="002C145D"/>
    <w:rsid w:val="002C44FA"/>
    <w:rsid w:val="002C4E1F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05CCA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0988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E7E03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5662"/>
    <w:rsid w:val="004570FB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4E41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593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23D9"/>
    <w:rsid w:val="00523692"/>
    <w:rsid w:val="00523A4F"/>
    <w:rsid w:val="00524EFE"/>
    <w:rsid w:val="0053132C"/>
    <w:rsid w:val="0053410E"/>
    <w:rsid w:val="0053463A"/>
    <w:rsid w:val="00536665"/>
    <w:rsid w:val="00541227"/>
    <w:rsid w:val="00542A5E"/>
    <w:rsid w:val="00545454"/>
    <w:rsid w:val="00546BB6"/>
    <w:rsid w:val="00551226"/>
    <w:rsid w:val="005606E9"/>
    <w:rsid w:val="00560E50"/>
    <w:rsid w:val="00574300"/>
    <w:rsid w:val="00577F8B"/>
    <w:rsid w:val="005818C4"/>
    <w:rsid w:val="005858A6"/>
    <w:rsid w:val="00587EFD"/>
    <w:rsid w:val="005936ED"/>
    <w:rsid w:val="00595633"/>
    <w:rsid w:val="005A3DE7"/>
    <w:rsid w:val="005A3F2C"/>
    <w:rsid w:val="005A4C61"/>
    <w:rsid w:val="005A6A74"/>
    <w:rsid w:val="005B0C36"/>
    <w:rsid w:val="005B15F6"/>
    <w:rsid w:val="005B32B3"/>
    <w:rsid w:val="005B353C"/>
    <w:rsid w:val="005B38A4"/>
    <w:rsid w:val="005B5F4C"/>
    <w:rsid w:val="005C1F64"/>
    <w:rsid w:val="005C207A"/>
    <w:rsid w:val="005C588B"/>
    <w:rsid w:val="005D0E9A"/>
    <w:rsid w:val="005D326E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5023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4E21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0B8"/>
    <w:rsid w:val="00700B86"/>
    <w:rsid w:val="00706979"/>
    <w:rsid w:val="007078A2"/>
    <w:rsid w:val="00707A30"/>
    <w:rsid w:val="00712E1B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22D"/>
    <w:rsid w:val="0074051F"/>
    <w:rsid w:val="00741FE6"/>
    <w:rsid w:val="0074299A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4528"/>
    <w:rsid w:val="00826DAE"/>
    <w:rsid w:val="008279B2"/>
    <w:rsid w:val="0083112E"/>
    <w:rsid w:val="00831CF8"/>
    <w:rsid w:val="008373F0"/>
    <w:rsid w:val="0084129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42D7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002A"/>
    <w:rsid w:val="008C4A1F"/>
    <w:rsid w:val="008C538F"/>
    <w:rsid w:val="008D1125"/>
    <w:rsid w:val="008E2126"/>
    <w:rsid w:val="008E3950"/>
    <w:rsid w:val="008E3B59"/>
    <w:rsid w:val="008E4436"/>
    <w:rsid w:val="008E468E"/>
    <w:rsid w:val="008F1FE9"/>
    <w:rsid w:val="00900C45"/>
    <w:rsid w:val="00900CC2"/>
    <w:rsid w:val="00902199"/>
    <w:rsid w:val="00902E19"/>
    <w:rsid w:val="009040FC"/>
    <w:rsid w:val="009041F4"/>
    <w:rsid w:val="009101A9"/>
    <w:rsid w:val="00910AC5"/>
    <w:rsid w:val="00912E0C"/>
    <w:rsid w:val="00916380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0B2E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0F12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D87"/>
    <w:rsid w:val="009B6F62"/>
    <w:rsid w:val="009C4AFA"/>
    <w:rsid w:val="009C6A0A"/>
    <w:rsid w:val="009C7D9B"/>
    <w:rsid w:val="009D137D"/>
    <w:rsid w:val="009D2372"/>
    <w:rsid w:val="009E0D94"/>
    <w:rsid w:val="009E101A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13B0"/>
    <w:rsid w:val="00B6483F"/>
    <w:rsid w:val="00B64C4E"/>
    <w:rsid w:val="00B655A3"/>
    <w:rsid w:val="00B67BD8"/>
    <w:rsid w:val="00B74DA5"/>
    <w:rsid w:val="00B754F1"/>
    <w:rsid w:val="00B85139"/>
    <w:rsid w:val="00B87921"/>
    <w:rsid w:val="00B91906"/>
    <w:rsid w:val="00B941AF"/>
    <w:rsid w:val="00B962B6"/>
    <w:rsid w:val="00B9678B"/>
    <w:rsid w:val="00BA2EDA"/>
    <w:rsid w:val="00BA6CE0"/>
    <w:rsid w:val="00BB2034"/>
    <w:rsid w:val="00BB24D8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BF53A6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4AB3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41A7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391E"/>
    <w:rsid w:val="00DB644B"/>
    <w:rsid w:val="00DB70AB"/>
    <w:rsid w:val="00DC0917"/>
    <w:rsid w:val="00DC276A"/>
    <w:rsid w:val="00DC5895"/>
    <w:rsid w:val="00DD2FD2"/>
    <w:rsid w:val="00DD328A"/>
    <w:rsid w:val="00DE1A35"/>
    <w:rsid w:val="00DE3CD4"/>
    <w:rsid w:val="00DE766E"/>
    <w:rsid w:val="00DF1F3F"/>
    <w:rsid w:val="00DF5853"/>
    <w:rsid w:val="00DF6E76"/>
    <w:rsid w:val="00DF77BA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F2E"/>
    <w:rsid w:val="00E72F5C"/>
    <w:rsid w:val="00E77310"/>
    <w:rsid w:val="00E776B6"/>
    <w:rsid w:val="00E77A27"/>
    <w:rsid w:val="00E8280B"/>
    <w:rsid w:val="00E860CE"/>
    <w:rsid w:val="00E86106"/>
    <w:rsid w:val="00E87668"/>
    <w:rsid w:val="00E93790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1F74"/>
    <w:rsid w:val="00F32981"/>
    <w:rsid w:val="00F33367"/>
    <w:rsid w:val="00F356F2"/>
    <w:rsid w:val="00F36E53"/>
    <w:rsid w:val="00F41161"/>
    <w:rsid w:val="00F50A53"/>
    <w:rsid w:val="00F56614"/>
    <w:rsid w:val="00F57417"/>
    <w:rsid w:val="00F604FE"/>
    <w:rsid w:val="00F61241"/>
    <w:rsid w:val="00F67813"/>
    <w:rsid w:val="00F71DDF"/>
    <w:rsid w:val="00F72D7B"/>
    <w:rsid w:val="00F76845"/>
    <w:rsid w:val="00F8050B"/>
    <w:rsid w:val="00F81B9C"/>
    <w:rsid w:val="00F83A1D"/>
    <w:rsid w:val="00F90571"/>
    <w:rsid w:val="00F9126F"/>
    <w:rsid w:val="00F914CD"/>
    <w:rsid w:val="00F93F82"/>
    <w:rsid w:val="00F946DA"/>
    <w:rsid w:val="00F968C3"/>
    <w:rsid w:val="00F96EAD"/>
    <w:rsid w:val="00FA3642"/>
    <w:rsid w:val="00FA3F15"/>
    <w:rsid w:val="00FA40BA"/>
    <w:rsid w:val="00FB28D2"/>
    <w:rsid w:val="00FB495A"/>
    <w:rsid w:val="00FC29B4"/>
    <w:rsid w:val="00FC4A90"/>
    <w:rsid w:val="00FC6F62"/>
    <w:rsid w:val="00FC7763"/>
    <w:rsid w:val="00FD0B8E"/>
    <w:rsid w:val="00FD2D59"/>
    <w:rsid w:val="00FD477E"/>
    <w:rsid w:val="00FD4A34"/>
    <w:rsid w:val="00FE1599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E10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B61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13B0"/>
    <w:rPr>
      <w:rFonts w:ascii="Tahoma" w:eastAsiaTheme="minorHAns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0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9E10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rsid w:val="00B613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613B0"/>
    <w:rPr>
      <w:rFonts w:ascii="Tahoma" w:eastAsiaTheme="minorHAnsi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4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3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nems.gosuslug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-nems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B25C-E2DF-49D4-A9B1-0C4F6C74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1156</Words>
  <Characters>9883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Житников Д.Г.</dc:creator>
  <cp:lastModifiedBy>User</cp:lastModifiedBy>
  <cp:revision>5</cp:revision>
  <cp:lastPrinted>2024-11-06T13:32:00Z</cp:lastPrinted>
  <dcterms:created xsi:type="dcterms:W3CDTF">2024-11-01T10:54:00Z</dcterms:created>
  <dcterms:modified xsi:type="dcterms:W3CDTF">2024-11-06T13:36:00Z</dcterms:modified>
</cp:coreProperties>
</file>